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pBdr>
        <w:shd w:fill="ffffff" w:val="clear"/>
        <w:spacing w:line="432"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Psych/625</w:t>
      </w:r>
    </w:p>
    <w:p w:rsidR="00000000" w:rsidDel="00000000" w:rsidP="00000000" w:rsidRDefault="00000000" w:rsidRPr="00000000" w14:paraId="00000002">
      <w:pPr>
        <w:pBdr>
          <w:top w:space="0" w:sz="0" w:val="nil"/>
          <w:left w:space="0" w:sz="0" w:val="nil"/>
          <w:bottom w:space="0" w:sz="0" w:val="nil"/>
          <w:right w:space="0" w:sz="0" w:val="nil"/>
        </w:pBdr>
        <w:shd w:fill="ffffff" w:val="clear"/>
        <w:spacing w:line="432"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May 13, 2019</w:t>
      </w:r>
    </w:p>
    <w:p w:rsidR="00000000" w:rsidDel="00000000" w:rsidP="00000000" w:rsidRDefault="00000000" w:rsidRPr="00000000" w14:paraId="00000003">
      <w:pPr>
        <w:spacing w:line="480"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line="480" w:lineRule="auto"/>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Advantage of a Tukey's HSD</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Tukey's HSD </w:t>
      </w:r>
      <w:r w:rsidDel="00000000" w:rsidR="00000000" w:rsidRPr="00000000">
        <w:rPr>
          <w:rFonts w:ascii="Times New Roman" w:cs="Times New Roman" w:eastAsia="Times New Roman" w:hAnsi="Times New Roman"/>
          <w:sz w:val="24"/>
          <w:szCs w:val="24"/>
          <w:highlight w:val="white"/>
          <w:rtl w:val="0"/>
        </w:rPr>
        <w:t xml:space="preserve">post hoc tests play an integral role when using ANOVA to test the homogeneity of means and other test statistics for more than three groups. The ANOVA results for the mean difference in more than three groups are statistically insignificant as they do not specify which means are not equal. It is very unlikely that comparing means from more than three groups will not give a different for normal data especially when large samples are employed (Cardinal &amp; Aitken, 2013). Post hoc tests are used to explore the differences in means from multiple groups by identifying the particular significant mean difference between pairs of means. </w:t>
      </w:r>
      <w:r w:rsidDel="00000000" w:rsidR="00000000" w:rsidRPr="00000000">
        <w:rPr>
          <w:rtl w:val="0"/>
        </w:rPr>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When the computed p-value from the ANOVA analysis is less than the set level of significance we reject the null hypothesis. The ANOVA does not single out which groups are different from the rest and this can lead to doubtful conclusions. It is important to know which groups are different from the rest in the group before rejecting the null hypothesis or else you will be committing type I error in the analysis (Cardinal &amp; Aitken, 2013). On carrying out a Tukey’s Test the result turns out to be false after comparing the means within groups. A post hoc test identifies the family-wise error rate between the groups thus providing supportive information to reject or fail to reject the null. The post hoc test is best for controlling the experiment-wise error rate between the study groups.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spacing w:after="160" w:line="480" w:lineRule="auto"/>
        <w:jc w:val="both"/>
        <w:rPr>
          <w:rFonts w:ascii="Times New Roman" w:cs="Times New Roman" w:eastAsia="Times New Roman" w:hAnsi="Times New Roman"/>
          <w:sz w:val="24"/>
          <w:szCs w:val="24"/>
        </w:rPr>
      </w:pPr>
      <w:r w:rsidDel="00000000" w:rsidR="00000000" w:rsidRPr="00000000">
        <w:rPr>
          <w:rtl w:val="0"/>
        </w:rPr>
      </w:r>
    </w:p>
    <w:tbl>
      <w:tblPr>
        <w:tblStyle w:val="Table1"/>
        <w:tblW w:w="7110.0" w:type="dxa"/>
        <w:jc w:val="left"/>
        <w:tblInd w:w="0.0" w:type="dxa"/>
        <w:tblLayout w:type="fixed"/>
        <w:tblLook w:val="0400"/>
      </w:tblPr>
      <w:tblGrid>
        <w:gridCol w:w="2797"/>
        <w:gridCol w:w="2243"/>
        <w:gridCol w:w="2070"/>
        <w:tblGridChange w:id="0">
          <w:tblGrid>
            <w:gridCol w:w="2797"/>
            <w:gridCol w:w="2243"/>
            <w:gridCol w:w="2070"/>
          </w:tblGrid>
        </w:tblGridChange>
      </w:tblGrid>
      <w:tr>
        <w:trPr>
          <w:trHeight w:val="300" w:hRule="atLeast"/>
        </w:trPr>
        <w:tc>
          <w:tcPr>
            <w:gridSpan w:val="3"/>
            <w:shd w:fill="auto" w:val="clear"/>
            <w:vAlign w:val="bottom"/>
          </w:tcPr>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t-Test: Two-Sample Assuming Equal Variances</w:t>
            </w:r>
          </w:p>
        </w:tc>
      </w:tr>
      <w:tr>
        <w:trPr>
          <w:trHeight w:val="300" w:hRule="atLeast"/>
        </w:trPr>
        <w:tc>
          <w:tcPr>
            <w:shd w:fill="auto" w:val="clear"/>
            <w:vAlign w:val="bottom"/>
          </w:tcPr>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a" w:space="0" w:sz="8" w:val="single"/>
              <w:bottom w:color="00000a" w:space="0" w:sz="4" w:val="single"/>
            </w:tcBorders>
            <w:shd w:fill="auto" w:val="clear"/>
            <w:vAlign w:val="bottom"/>
          </w:tcPr>
          <w:p w:rsidR="00000000" w:rsidDel="00000000" w:rsidP="00000000" w:rsidRDefault="00000000" w:rsidRPr="00000000" w14:paraId="00000017">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w:t>
            </w:r>
          </w:p>
        </w:tc>
        <w:tc>
          <w:tcPr>
            <w:tcBorders>
              <w:top w:color="00000a" w:space="0" w:sz="8" w:val="single"/>
              <w:bottom w:color="00000a" w:space="0" w:sz="4" w:val="single"/>
            </w:tcBorders>
            <w:shd w:fill="auto" w:val="clear"/>
            <w:vAlign w:val="bottom"/>
          </w:tcPr>
          <w:p w:rsidR="00000000" w:rsidDel="00000000" w:rsidP="00000000" w:rsidRDefault="00000000" w:rsidRPr="00000000" w14:paraId="00000018">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Telecommute = 1</w:t>
            </w:r>
          </w:p>
        </w:tc>
        <w:tc>
          <w:tcPr>
            <w:tcBorders>
              <w:top w:color="00000a" w:space="0" w:sz="8" w:val="single"/>
              <w:bottom w:color="00000a" w:space="0" w:sz="4" w:val="single"/>
            </w:tcBorders>
            <w:shd w:fill="auto" w:val="clear"/>
            <w:vAlign w:val="bottom"/>
          </w:tcPr>
          <w:p w:rsidR="00000000" w:rsidDel="00000000" w:rsidP="00000000" w:rsidRDefault="00000000" w:rsidRPr="00000000" w14:paraId="00000019">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Telecommute = 2</w:t>
            </w:r>
          </w:p>
        </w:tc>
      </w:tr>
      <w:tr>
        <w:trPr>
          <w:trHeight w:val="300" w:hRule="atLeast"/>
        </w:trPr>
        <w:tc>
          <w:tcPr>
            <w:shd w:fill="auto" w:val="clear"/>
            <w:vAlign w:val="bottom"/>
          </w:tcPr>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w:t>
            </w:r>
          </w:p>
        </w:tc>
        <w:tc>
          <w:tcPr>
            <w:shd w:fill="auto" w:val="clear"/>
            <w:vAlign w:val="bottom"/>
          </w:tcPr>
          <w:p w:rsidR="00000000" w:rsidDel="00000000" w:rsidP="00000000" w:rsidRDefault="00000000" w:rsidRPr="00000000" w14:paraId="0000001B">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7.634146</w:t>
            </w:r>
          </w:p>
        </w:tc>
        <w:tc>
          <w:tcPr>
            <w:shd w:fill="auto" w:val="clear"/>
            <w:vAlign w:val="bottom"/>
          </w:tcPr>
          <w:p w:rsidR="00000000" w:rsidDel="00000000" w:rsidP="00000000" w:rsidRDefault="00000000" w:rsidRPr="00000000" w14:paraId="0000001C">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7.666667</w:t>
            </w:r>
          </w:p>
        </w:tc>
      </w:tr>
      <w:tr>
        <w:trPr>
          <w:trHeight w:val="300" w:hRule="atLeast"/>
        </w:trPr>
        <w:tc>
          <w:tcPr>
            <w:shd w:fill="auto" w:val="clear"/>
            <w:vAlign w:val="bottom"/>
          </w:tcPr>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Variance</w:t>
            </w:r>
          </w:p>
        </w:tc>
        <w:tc>
          <w:tcPr>
            <w:shd w:fill="auto" w:val="clear"/>
            <w:vAlign w:val="bottom"/>
          </w:tcPr>
          <w:p w:rsidR="00000000" w:rsidDel="00000000" w:rsidP="00000000" w:rsidRDefault="00000000" w:rsidRPr="00000000" w14:paraId="0000001E">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1.537805</w:t>
            </w:r>
          </w:p>
        </w:tc>
        <w:tc>
          <w:tcPr>
            <w:shd w:fill="auto" w:val="clear"/>
            <w:vAlign w:val="bottom"/>
          </w:tcPr>
          <w:p w:rsidR="00000000" w:rsidDel="00000000" w:rsidP="00000000" w:rsidRDefault="00000000" w:rsidRPr="00000000" w14:paraId="0000001F">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1.75</w:t>
            </w:r>
          </w:p>
        </w:tc>
      </w:tr>
      <w:tr>
        <w:trPr>
          <w:trHeight w:val="300" w:hRule="atLeast"/>
        </w:trPr>
        <w:tc>
          <w:tcPr>
            <w:shd w:fill="auto" w:val="clear"/>
            <w:vAlign w:val="bottom"/>
          </w:tcPr>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Observations</w:t>
            </w:r>
          </w:p>
        </w:tc>
        <w:tc>
          <w:tcPr>
            <w:shd w:fill="auto" w:val="clear"/>
            <w:vAlign w:val="bottom"/>
          </w:tcPr>
          <w:p w:rsidR="00000000" w:rsidDel="00000000" w:rsidP="00000000" w:rsidRDefault="00000000" w:rsidRPr="00000000" w14:paraId="00000021">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w:t>
            </w:r>
          </w:p>
        </w:tc>
        <w:tc>
          <w:tcPr>
            <w:shd w:fill="auto" w:val="clear"/>
            <w:vAlign w:val="bottom"/>
          </w:tcPr>
          <w:p w:rsidR="00000000" w:rsidDel="00000000" w:rsidP="00000000" w:rsidRDefault="00000000" w:rsidRPr="00000000" w14:paraId="00000022">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trHeight w:val="300" w:hRule="atLeast"/>
        </w:trPr>
        <w:tc>
          <w:tcPr>
            <w:shd w:fill="auto" w:val="clear"/>
            <w:vAlign w:val="bottom"/>
          </w:tcPr>
          <w:p w:rsidR="00000000" w:rsidDel="00000000" w:rsidP="00000000" w:rsidRDefault="00000000" w:rsidRPr="00000000" w14:paraId="0000002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Pooled Variance</w:t>
            </w:r>
          </w:p>
        </w:tc>
        <w:tc>
          <w:tcPr>
            <w:shd w:fill="auto" w:val="clear"/>
            <w:vAlign w:val="bottom"/>
          </w:tcPr>
          <w:p w:rsidR="00000000" w:rsidDel="00000000" w:rsidP="00000000" w:rsidRDefault="00000000" w:rsidRPr="00000000" w14:paraId="00000024">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1.573171</w:t>
            </w:r>
          </w:p>
        </w:tc>
        <w:tc>
          <w:tcPr>
            <w:shd w:fill="auto" w:val="clear"/>
            <w:vAlign w:val="bottom"/>
          </w:tcPr>
          <w:p w:rsidR="00000000" w:rsidDel="00000000" w:rsidP="00000000" w:rsidRDefault="00000000" w:rsidRPr="00000000" w14:paraId="00000025">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Hypothesized Mean Difference</w:t>
            </w:r>
          </w:p>
        </w:tc>
        <w:tc>
          <w:tcPr>
            <w:shd w:fill="auto" w:val="clear"/>
            <w:vAlign w:val="bottom"/>
          </w:tcPr>
          <w:p w:rsidR="00000000" w:rsidDel="00000000" w:rsidP="00000000" w:rsidRDefault="00000000" w:rsidRPr="00000000" w14:paraId="00000027">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shd w:fill="auto" w:val="clear"/>
            <w:vAlign w:val="bottom"/>
          </w:tcPr>
          <w:p w:rsidR="00000000" w:rsidDel="00000000" w:rsidP="00000000" w:rsidRDefault="00000000" w:rsidRPr="00000000" w14:paraId="00000028">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2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shd w:fill="auto" w:val="clear"/>
            <w:vAlign w:val="bottom"/>
          </w:tcPr>
          <w:p w:rsidR="00000000" w:rsidDel="00000000" w:rsidP="00000000" w:rsidRDefault="00000000" w:rsidRPr="00000000" w14:paraId="0000002A">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w:t>
            </w:r>
          </w:p>
        </w:tc>
        <w:tc>
          <w:tcPr>
            <w:shd w:fill="auto" w:val="clear"/>
            <w:vAlign w:val="bottom"/>
          </w:tcPr>
          <w:p w:rsidR="00000000" w:rsidDel="00000000" w:rsidP="00000000" w:rsidRDefault="00000000" w:rsidRPr="00000000" w14:paraId="0000002B">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2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 Stat</w:t>
            </w:r>
          </w:p>
        </w:tc>
        <w:tc>
          <w:tcPr>
            <w:shd w:fill="auto" w:val="clear"/>
            <w:vAlign w:val="bottom"/>
          </w:tcPr>
          <w:p w:rsidR="00000000" w:rsidDel="00000000" w:rsidP="00000000" w:rsidRDefault="00000000" w:rsidRPr="00000000" w14:paraId="0000002D">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-0.07044</w:t>
            </w:r>
          </w:p>
        </w:tc>
        <w:tc>
          <w:tcPr>
            <w:shd w:fill="auto" w:val="clear"/>
            <w:vAlign w:val="bottom"/>
          </w:tcPr>
          <w:p w:rsidR="00000000" w:rsidDel="00000000" w:rsidP="00000000" w:rsidRDefault="00000000" w:rsidRPr="00000000" w14:paraId="0000002E">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2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P(T&lt;=t) one-tail</w:t>
            </w:r>
          </w:p>
        </w:tc>
        <w:tc>
          <w:tcPr>
            <w:shd w:fill="auto" w:val="clear"/>
            <w:vAlign w:val="bottom"/>
          </w:tcPr>
          <w:p w:rsidR="00000000" w:rsidDel="00000000" w:rsidP="00000000" w:rsidRDefault="00000000" w:rsidRPr="00000000" w14:paraId="00000030">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0.47207</w:t>
            </w:r>
          </w:p>
        </w:tc>
        <w:tc>
          <w:tcPr>
            <w:shd w:fill="auto" w:val="clear"/>
            <w:vAlign w:val="bottom"/>
          </w:tcPr>
          <w:p w:rsidR="00000000" w:rsidDel="00000000" w:rsidP="00000000" w:rsidRDefault="00000000" w:rsidRPr="00000000" w14:paraId="00000031">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 Critical one-tail</w:t>
            </w:r>
          </w:p>
        </w:tc>
        <w:tc>
          <w:tcPr>
            <w:shd w:fill="auto" w:val="clear"/>
            <w:vAlign w:val="bottom"/>
          </w:tcPr>
          <w:p w:rsidR="00000000" w:rsidDel="00000000" w:rsidP="00000000" w:rsidRDefault="00000000" w:rsidRPr="00000000" w14:paraId="00000033">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1.677224</w:t>
            </w:r>
          </w:p>
        </w:tc>
        <w:tc>
          <w:tcPr>
            <w:shd w:fill="auto" w:val="clear"/>
            <w:vAlign w:val="bottom"/>
          </w:tcPr>
          <w:p w:rsidR="00000000" w:rsidDel="00000000" w:rsidP="00000000" w:rsidRDefault="00000000" w:rsidRPr="00000000" w14:paraId="00000034">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P(T&lt;=t) two-tail</w:t>
            </w:r>
          </w:p>
        </w:tc>
        <w:tc>
          <w:tcPr>
            <w:shd w:fill="auto" w:val="clear"/>
            <w:vAlign w:val="bottom"/>
          </w:tcPr>
          <w:p w:rsidR="00000000" w:rsidDel="00000000" w:rsidP="00000000" w:rsidRDefault="00000000" w:rsidRPr="00000000" w14:paraId="00000036">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0.944139</w:t>
            </w:r>
          </w:p>
        </w:tc>
        <w:tc>
          <w:tcPr>
            <w:shd w:fill="auto" w:val="clear"/>
            <w:vAlign w:val="bottom"/>
          </w:tcPr>
          <w:p w:rsidR="00000000" w:rsidDel="00000000" w:rsidP="00000000" w:rsidRDefault="00000000" w:rsidRPr="00000000" w14:paraId="00000037">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bottom w:color="00000a" w:space="0" w:sz="8" w:val="single"/>
            </w:tcBorders>
            <w:shd w:fill="auto" w:val="clear"/>
            <w:vAlign w:val="bottom"/>
          </w:tcPr>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 Critical two-tail</w:t>
            </w:r>
          </w:p>
        </w:tc>
        <w:tc>
          <w:tcPr>
            <w:tcBorders>
              <w:bottom w:color="00000a" w:space="0" w:sz="8" w:val="single"/>
            </w:tcBorders>
            <w:shd w:fill="auto" w:val="clear"/>
            <w:vAlign w:val="bottom"/>
          </w:tcPr>
          <w:p w:rsidR="00000000" w:rsidDel="00000000" w:rsidP="00000000" w:rsidRDefault="00000000" w:rsidRPr="00000000" w14:paraId="00000039">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2.010635</w:t>
            </w:r>
          </w:p>
        </w:tc>
        <w:tc>
          <w:tcPr>
            <w:tcBorders>
              <w:bottom w:color="00000a" w:space="0" w:sz="8" w:val="single"/>
            </w:tcBorders>
            <w:shd w:fill="auto" w:val="clear"/>
            <w:vAlign w:val="bottom"/>
          </w:tcPr>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B">
      <w:pPr>
        <w:spacing w:after="160" w:line="480" w:lineRule="auto"/>
        <w:jc w:val="both"/>
        <w:rPr>
          <w:rFonts w:ascii="Times New Roman" w:cs="Times New Roman" w:eastAsia="Times New Roman" w:hAnsi="Times New Roman"/>
          <w:sz w:val="24"/>
          <w:szCs w:val="24"/>
        </w:rPr>
      </w:pPr>
      <w:r w:rsidDel="00000000" w:rsidR="00000000" w:rsidRPr="00000000">
        <w:rPr>
          <w:rtl w:val="0"/>
        </w:rPr>
      </w:r>
    </w:p>
    <w:tbl>
      <w:tblPr>
        <w:tblStyle w:val="Table2"/>
        <w:tblW w:w="10252.0" w:type="dxa"/>
        <w:jc w:val="left"/>
        <w:tblInd w:w="93.0" w:type="dxa"/>
        <w:tblLayout w:type="fixed"/>
        <w:tblLook w:val="0400"/>
      </w:tblPr>
      <w:tblGrid>
        <w:gridCol w:w="1980"/>
        <w:gridCol w:w="1200"/>
        <w:gridCol w:w="1520"/>
        <w:gridCol w:w="1356"/>
        <w:gridCol w:w="1356"/>
        <w:gridCol w:w="1340"/>
        <w:gridCol w:w="1500"/>
        <w:tblGridChange w:id="0">
          <w:tblGrid>
            <w:gridCol w:w="1980"/>
            <w:gridCol w:w="1200"/>
            <w:gridCol w:w="1520"/>
            <w:gridCol w:w="1356"/>
            <w:gridCol w:w="1356"/>
            <w:gridCol w:w="1340"/>
            <w:gridCol w:w="1500"/>
          </w:tblGrid>
        </w:tblGridChange>
      </w:tblGrid>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SUMMARY</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E">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F">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0">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1">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2">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3">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Groups</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4">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Count</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5">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Sum</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6">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Average</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7">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Variance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8">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B">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C">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D">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E">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0.25469388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F">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0">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2">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3">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1601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4">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32.02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5">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18.8363265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6">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7">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Supervisor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9">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A">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B">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C">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1.03061224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D">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E">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Telecommute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0">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1">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2">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3">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0.15061224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4">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5">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Coworkers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7">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8">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9">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A">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0.44244898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B">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C">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Happiness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E">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F">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0">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1">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2">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3">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Engagement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5">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6">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7">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8">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1.54122449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9">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A">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7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Rating</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7C">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7D">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751</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7E">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15.02</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7F">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5.89755102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0">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1">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2">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3">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4">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5">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6">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7">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8">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9">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A">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B">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C">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D">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E">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F">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ANOVA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8">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9">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A">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B">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C">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D">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E">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Source of Variation</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F">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SS</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0">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df</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1">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2">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3">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P-value</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4">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 crit</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Groups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6">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38953.48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7">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8">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5564.78286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9">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1476.38941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A">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3.0974E-277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B">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2.032949412</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Within Groups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D">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1477.52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E">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F">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3.76918367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0">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1">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2">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3">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4">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5">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6">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7">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8">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9">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B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BB">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40431</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BC">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399</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B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B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B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C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C1">
      <w:pPr>
        <w:spacing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2">
      <w:pPr>
        <w:spacing w:line="480" w:lineRule="auto"/>
        <w:jc w:val="both"/>
        <w:rPr>
          <w:rFonts w:ascii="Times New Roman" w:cs="Times New Roman" w:eastAsia="Times New Roman" w:hAnsi="Times New Roman"/>
          <w:b w:val="1"/>
          <w:sz w:val="24"/>
          <w:szCs w:val="24"/>
        </w:rPr>
      </w:pPr>
      <w:r w:rsidDel="00000000" w:rsidR="00000000" w:rsidRPr="00000000">
        <w:rPr>
          <w:rtl w:val="0"/>
        </w:rPr>
        <w:t xml:space="preserve">Conclusion:</w:t>
      </w:r>
      <w:r w:rsidDel="00000000" w:rsidR="00000000" w:rsidRPr="00000000">
        <w:rPr>
          <w:rtl w:val="0"/>
        </w:rPr>
      </w:r>
    </w:p>
    <w:p w:rsidR="00000000" w:rsidDel="00000000" w:rsidP="00000000" w:rsidRDefault="00000000" w:rsidRPr="00000000" w14:paraId="000000C3">
      <w:pPr>
        <w:spacing w:line="480" w:lineRule="auto"/>
        <w:jc w:val="both"/>
        <w:rPr/>
      </w:pPr>
      <w:r w:rsidDel="00000000" w:rsidR="00000000" w:rsidRPr="00000000">
        <w:rPr>
          <w:rtl w:val="0"/>
        </w:rPr>
        <w:t xml:space="preserve">It is a two-tailed test since the null hypothesis assumes only inequality and does not specify any direction. The corresponding p-value is 0.9441. At 0.01 significance level, since p &gt; α, there is no evidence to reject the null hypothesis. At 99% confidence level, the mean engagement ratings are equal for both the groups (Telecommute = 1 and Telecommute = 2). Hence, it can be concluded that the ability to telecommute has no effect on the engagement at the workplace. This can also be observed from the raw data which shows the engagement ratings are similar for both the groups. The T-test confirms this at a confidence level of 99%.</w:t>
      </w:r>
    </w:p>
    <w:p w:rsidR="00000000" w:rsidDel="00000000" w:rsidP="00000000" w:rsidRDefault="00000000" w:rsidRPr="00000000" w14:paraId="000000C4">
      <w:pPr>
        <w:spacing w:line="480" w:lineRule="auto"/>
        <w:jc w:val="both"/>
        <w:rPr/>
      </w:pPr>
      <w:r w:rsidDel="00000000" w:rsidR="00000000" w:rsidRPr="00000000">
        <w:rPr>
          <w:rtl w:val="0"/>
        </w:rPr>
      </w:r>
    </w:p>
    <w:p w:rsidR="00000000" w:rsidDel="00000000" w:rsidP="00000000" w:rsidRDefault="00000000" w:rsidRPr="00000000" w14:paraId="000000C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w:t>
      </w:r>
    </w:p>
    <w:p w:rsidR="00000000" w:rsidDel="00000000" w:rsidP="00000000" w:rsidRDefault="00000000" w:rsidRPr="00000000" w14:paraId="000000C6">
      <w:pPr>
        <w:spacing w:line="480" w:lineRule="auto"/>
        <w:ind w:left="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highlight w:val="white"/>
          <w:rtl w:val="0"/>
        </w:rPr>
        <w:t xml:space="preserve">Cardinal, R. N., &amp; Aitken, M. R. (2013). </w:t>
      </w:r>
      <w:r w:rsidDel="00000000" w:rsidR="00000000" w:rsidRPr="00000000">
        <w:rPr>
          <w:rFonts w:ascii="Times New Roman" w:cs="Times New Roman" w:eastAsia="Times New Roman" w:hAnsi="Times New Roman"/>
          <w:i w:val="1"/>
          <w:sz w:val="24"/>
          <w:szCs w:val="24"/>
          <w:highlight w:val="white"/>
          <w:rtl w:val="0"/>
        </w:rPr>
        <w:t xml:space="preserve">ANOVA for the behavioral sciences researcher</w:t>
      </w:r>
      <w:r w:rsidDel="00000000" w:rsidR="00000000" w:rsidRPr="00000000">
        <w:rPr>
          <w:rFonts w:ascii="Times New Roman" w:cs="Times New Roman" w:eastAsia="Times New Roman" w:hAnsi="Times New Roman"/>
          <w:sz w:val="24"/>
          <w:szCs w:val="24"/>
          <w:highlight w:val="white"/>
          <w:rtl w:val="0"/>
        </w:rPr>
        <w:t xml:space="preserve">. Hove, UK: Psychology Press.</w:t>
      </w:r>
      <w:r w:rsidDel="00000000" w:rsidR="00000000" w:rsidRPr="00000000">
        <w:rPr>
          <w:rtl w:val="0"/>
        </w:rPr>
      </w:r>
    </w:p>
    <w:p w:rsidR="00000000" w:rsidDel="00000000" w:rsidP="00000000" w:rsidRDefault="00000000" w:rsidRPr="00000000" w14:paraId="000000C7">
      <w:pPr>
        <w:spacing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8">
      <w:pPr>
        <w:spacing w:after="160" w:line="480" w:lineRule="auto"/>
        <w:jc w:val="both"/>
        <w:rPr>
          <w:rFonts w:ascii="Times New Roman" w:cs="Times New Roman" w:eastAsia="Times New Roman" w:hAnsi="Times New Roman"/>
          <w:sz w:val="24"/>
          <w:szCs w:val="24"/>
        </w:rPr>
      </w:pPr>
      <w:r w:rsidDel="00000000" w:rsidR="00000000" w:rsidRPr="00000000">
        <w:rPr>
          <w:rtl w:val="0"/>
        </w:rPr>
      </w:r>
    </w:p>
    <w:tbl>
      <w:tblPr>
        <w:tblStyle w:val="Table3"/>
        <w:tblW w:w="7110.0" w:type="dxa"/>
        <w:jc w:val="left"/>
        <w:tblInd w:w="0.0" w:type="dxa"/>
        <w:tblLayout w:type="fixed"/>
        <w:tblLook w:val="0400"/>
      </w:tblPr>
      <w:tblGrid>
        <w:gridCol w:w="2797"/>
        <w:gridCol w:w="2243"/>
        <w:gridCol w:w="2070"/>
        <w:tblGridChange w:id="0">
          <w:tblGrid>
            <w:gridCol w:w="2797"/>
            <w:gridCol w:w="2243"/>
            <w:gridCol w:w="2070"/>
          </w:tblGrid>
        </w:tblGridChange>
      </w:tblGrid>
      <w:tr>
        <w:trPr>
          <w:trHeight w:val="300" w:hRule="atLeast"/>
        </w:trPr>
        <w:tc>
          <w:tcPr>
            <w:gridSpan w:val="3"/>
            <w:shd w:fill="auto" w:val="clear"/>
            <w:vAlign w:val="bottom"/>
          </w:tcPr>
          <w:p w:rsidR="00000000" w:rsidDel="00000000" w:rsidP="00000000" w:rsidRDefault="00000000" w:rsidRPr="00000000" w14:paraId="000000C9">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CC">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CD">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CE">
            <w:pPr>
              <w:spacing w:line="240" w:lineRule="auto"/>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00000a" w:space="0" w:sz="8" w:val="single"/>
              <w:bottom w:color="00000a" w:space="0" w:sz="4" w:val="single"/>
            </w:tcBorders>
            <w:shd w:fill="auto" w:val="clear"/>
            <w:vAlign w:val="bottom"/>
          </w:tcPr>
          <w:p w:rsidR="00000000" w:rsidDel="00000000" w:rsidP="00000000" w:rsidRDefault="00000000" w:rsidRPr="00000000" w14:paraId="000000CF">
            <w:pPr>
              <w:spacing w:line="240" w:lineRule="auto"/>
              <w:jc w:val="center"/>
              <w:rPr>
                <w:rFonts w:ascii="Times New Roman" w:cs="Times New Roman" w:eastAsia="Times New Roman" w:hAnsi="Times New Roman"/>
                <w:i w:val="1"/>
                <w:sz w:val="24"/>
                <w:szCs w:val="24"/>
              </w:rPr>
            </w:pPr>
            <w:r w:rsidDel="00000000" w:rsidR="00000000" w:rsidRPr="00000000">
              <w:rPr>
                <w:rtl w:val="0"/>
              </w:rPr>
            </w:r>
          </w:p>
        </w:tc>
        <w:tc>
          <w:tcPr>
            <w:tcBorders>
              <w:top w:color="00000a" w:space="0" w:sz="8" w:val="single"/>
              <w:bottom w:color="00000a" w:space="0" w:sz="4" w:val="single"/>
            </w:tcBorders>
            <w:shd w:fill="auto" w:val="clear"/>
            <w:vAlign w:val="bottom"/>
          </w:tcPr>
          <w:p w:rsidR="00000000" w:rsidDel="00000000" w:rsidP="00000000" w:rsidRDefault="00000000" w:rsidRPr="00000000" w14:paraId="000000D0">
            <w:pPr>
              <w:spacing w:line="240" w:lineRule="auto"/>
              <w:jc w:val="center"/>
              <w:rPr>
                <w:rFonts w:ascii="Times New Roman" w:cs="Times New Roman" w:eastAsia="Times New Roman" w:hAnsi="Times New Roman"/>
                <w:i w:val="1"/>
                <w:sz w:val="24"/>
                <w:szCs w:val="24"/>
              </w:rPr>
            </w:pPr>
            <w:r w:rsidDel="00000000" w:rsidR="00000000" w:rsidRPr="00000000">
              <w:rPr>
                <w:rtl w:val="0"/>
              </w:rPr>
            </w:r>
          </w:p>
        </w:tc>
        <w:tc>
          <w:tcPr>
            <w:tcBorders>
              <w:top w:color="00000a" w:space="0" w:sz="8" w:val="single"/>
              <w:bottom w:color="00000a" w:space="0" w:sz="4" w:val="single"/>
            </w:tcBorders>
            <w:shd w:fill="auto" w:val="clear"/>
            <w:vAlign w:val="bottom"/>
          </w:tcPr>
          <w:p w:rsidR="00000000" w:rsidDel="00000000" w:rsidP="00000000" w:rsidRDefault="00000000" w:rsidRPr="00000000" w14:paraId="000000D1">
            <w:pPr>
              <w:spacing w:line="240" w:lineRule="auto"/>
              <w:jc w:val="center"/>
              <w:rPr>
                <w:rFonts w:ascii="Times New Roman" w:cs="Times New Roman" w:eastAsia="Times New Roman" w:hAnsi="Times New Roman"/>
                <w:i w:val="1"/>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D2">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D3">
            <w:pPr>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D4">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D5">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D6">
            <w:pPr>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D7">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D8">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D9">
            <w:pPr>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DA">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DB">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DC">
            <w:pPr>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DD">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DE">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DF">
            <w:pPr>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E0">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E1">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E2">
            <w:pPr>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E3">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E4">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E5">
            <w:pPr>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E6">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E7">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E8">
            <w:pPr>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E9">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EA">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EB">
            <w:pPr>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EC">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ED">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EE">
            <w:pPr>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EF">
            <w:pPr>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bottom w:color="00000a" w:space="0" w:sz="8" w:val="single"/>
            </w:tcBorders>
            <w:shd w:fill="auto" w:val="clear"/>
            <w:vAlign w:val="bottom"/>
          </w:tcPr>
          <w:p w:rsidR="00000000" w:rsidDel="00000000" w:rsidP="00000000" w:rsidRDefault="00000000" w:rsidRPr="00000000" w14:paraId="000000F0">
            <w:pPr>
              <w:spacing w:line="240" w:lineRule="auto"/>
              <w:rPr>
                <w:rFonts w:ascii="Times New Roman" w:cs="Times New Roman" w:eastAsia="Times New Roman" w:hAnsi="Times New Roman"/>
                <w:sz w:val="24"/>
                <w:szCs w:val="24"/>
              </w:rPr>
            </w:pPr>
            <w:r w:rsidDel="00000000" w:rsidR="00000000" w:rsidRPr="00000000">
              <w:rPr>
                <w:rtl w:val="0"/>
              </w:rPr>
            </w:r>
          </w:p>
        </w:tc>
        <w:tc>
          <w:tcPr>
            <w:tcBorders>
              <w:bottom w:color="00000a" w:space="0" w:sz="8" w:val="single"/>
            </w:tcBorders>
            <w:shd w:fill="auto" w:val="clear"/>
            <w:vAlign w:val="bottom"/>
          </w:tcPr>
          <w:p w:rsidR="00000000" w:rsidDel="00000000" w:rsidP="00000000" w:rsidRDefault="00000000" w:rsidRPr="00000000" w14:paraId="000000F1">
            <w:pPr>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a" w:space="0" w:sz="8" w:val="single"/>
            </w:tcBorders>
            <w:shd w:fill="auto" w:val="clear"/>
            <w:vAlign w:val="bottom"/>
          </w:tcPr>
          <w:p w:rsidR="00000000" w:rsidDel="00000000" w:rsidP="00000000" w:rsidRDefault="00000000" w:rsidRPr="00000000" w14:paraId="000000F2">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F3">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